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98" w:rsidRDefault="00406B98" w:rsidP="00406B98">
      <w:pPr>
        <w:spacing w:after="200" w:line="276" w:lineRule="auto"/>
        <w:rPr>
          <w:i/>
        </w:rPr>
      </w:pPr>
      <w:r>
        <w:rPr>
          <w:i/>
        </w:rPr>
        <w:t>Příloha č. 2 výzvy č. 14 zprostředkujícího subjektu ITI Pražské metropolitní oblasti</w:t>
      </w:r>
    </w:p>
    <w:p w:rsidR="00406B98" w:rsidRPr="00406B98" w:rsidRDefault="00406B98" w:rsidP="00406B98">
      <w:pPr>
        <w:keepNext/>
        <w:keepLines/>
        <w:spacing w:before="480" w:after="360" w:line="276" w:lineRule="auto"/>
        <w:jc w:val="both"/>
        <w:outlineLvl w:val="0"/>
        <w:rPr>
          <w:rFonts w:ascii="Cambria" w:eastAsiaTheme="majorEastAsia" w:hAnsi="Cambria" w:cstheme="majorBidi"/>
          <w:b/>
          <w:bCs/>
          <w:color w:val="5B9BD5" w:themeColor="accent1"/>
          <w:sz w:val="28"/>
          <w:szCs w:val="28"/>
        </w:rPr>
      </w:pPr>
      <w:r w:rsidRPr="00406B98">
        <w:rPr>
          <w:rFonts w:ascii="Cambria" w:eastAsiaTheme="majorEastAsia" w:hAnsi="Cambria" w:cstheme="majorBidi"/>
          <w:b/>
          <w:bCs/>
          <w:color w:val="5B9BD5" w:themeColor="accent1"/>
          <w:sz w:val="28"/>
          <w:szCs w:val="28"/>
        </w:rPr>
        <w:t>OSNOVA STUDIE PROVEDITELNOSTI – DOPLŇUJÍCÍ INFORMACE PRO HODNOCENÍ PROVÁDĚNÉ ZS ITI PRAŽSKÉ METROPOLITNÍ OBLASTI</w:t>
      </w:r>
    </w:p>
    <w:p w:rsidR="00406B98" w:rsidRPr="00406B98" w:rsidRDefault="00406B98" w:rsidP="00406B9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Cambria" w:eastAsiaTheme="majorEastAsia" w:hAnsi="Cambria" w:cstheme="majorBidi"/>
          <w:b/>
          <w:bCs/>
          <w:color w:val="2E74B5" w:themeColor="accent1" w:themeShade="BF"/>
          <w:sz w:val="26"/>
          <w:szCs w:val="26"/>
        </w:rPr>
      </w:pPr>
      <w:r w:rsidRPr="00406B98">
        <w:rPr>
          <w:rFonts w:ascii="Cambria" w:eastAsiaTheme="majorEastAsia" w:hAnsi="Cambria" w:cstheme="majorBidi"/>
          <w:b/>
          <w:bCs/>
          <w:color w:val="2E74B5" w:themeColor="accent1" w:themeShade="BF"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406B98" w:rsidRPr="00406B98" w:rsidRDefault="00406B98" w:rsidP="00406B98">
      <w:pPr>
        <w:pStyle w:val="Nadpis2"/>
        <w:spacing w:before="200" w:after="240" w:line="276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406B98">
        <w:rPr>
          <w:rFonts w:asciiTheme="minorHAnsi" w:eastAsia="Times New Roman" w:hAnsiTheme="minorHAnsi" w:cs="Times New Roman"/>
          <w:color w:val="auto"/>
          <w:sz w:val="22"/>
          <w:szCs w:val="22"/>
        </w:rPr>
        <w:t>Popis souladu s tematickým zaměřením Strategie ITI – tedy s prioritní oblastí 3 – Dostupné a kvalitní školství, se specifickým cílem 3.2 – Zvýšit kapacitu a kvalitu vzdělávacích zařízení v souladu s požadavky trhu práce, s opatřením 3.2.1 – Rozšíření kapacit a technického vybavení vzdělávacích zařízení (ZŠ, SŠ).</w:t>
      </w:r>
    </w:p>
    <w:p w:rsidR="00406B98" w:rsidRPr="00406B98" w:rsidRDefault="00406B98" w:rsidP="00406B98">
      <w:pPr>
        <w:pStyle w:val="Nadpis2"/>
        <w:numPr>
          <w:ilvl w:val="0"/>
          <w:numId w:val="1"/>
        </w:numPr>
        <w:spacing w:before="200" w:after="120" w:line="276" w:lineRule="auto"/>
        <w:jc w:val="both"/>
        <w:rPr>
          <w:rFonts w:ascii="Cambria" w:hAnsi="Cambria"/>
          <w:b/>
        </w:rPr>
      </w:pPr>
      <w:r w:rsidRPr="00406B98">
        <w:rPr>
          <w:rFonts w:ascii="Cambria" w:hAnsi="Cambria"/>
          <w:b/>
        </w:rPr>
        <w:t>Odůvodnění rozdílných údajů v projektovém záměru a v žádosti o podporu</w:t>
      </w:r>
    </w:p>
    <w:p w:rsidR="00406B98" w:rsidRPr="005B727B" w:rsidRDefault="00406B98" w:rsidP="00406B98">
      <w:pPr>
        <w:spacing w:after="240"/>
        <w:jc w:val="both"/>
      </w:pPr>
      <w:r w:rsidRPr="005B727B">
        <w:t xml:space="preserve">Pokud jsou v předkládané projektové žádosti uvedeny rozdílné údaje, týkající se </w:t>
      </w:r>
      <w:r w:rsidRPr="005B727B">
        <w:rPr>
          <w:b/>
        </w:rPr>
        <w:t>cílových hodnot indikátorů</w:t>
      </w:r>
      <w:r w:rsidRPr="005B727B">
        <w:t xml:space="preserve"> a </w:t>
      </w:r>
      <w:r w:rsidRPr="005B727B">
        <w:rPr>
          <w:b/>
        </w:rPr>
        <w:t>výše dotační podpory</w:t>
      </w:r>
      <w:r w:rsidRPr="005B727B">
        <w:t xml:space="preserve"> (výše dotace z EU), než byly uvedeny v projektovém záměru, předkládaném do výzvy nositele ITI, ke kterému vydal vyjádření Řídící výbor ITI Pražské metropolitní oblasti,</w:t>
      </w:r>
      <w:r w:rsidRPr="005B727B">
        <w:rPr>
          <w:b/>
        </w:rPr>
        <w:t xml:space="preserve"> uvede žadatel odůvodnění</w:t>
      </w:r>
      <w:r w:rsidRPr="005B727B">
        <w:t xml:space="preserve"> této změny včetně procentuálního vyjádř</w:t>
      </w:r>
      <w:bookmarkStart w:id="0" w:name="_GoBack"/>
      <w:bookmarkEnd w:id="0"/>
      <w:r w:rsidRPr="005B727B">
        <w:t>ení rozdílu těchto hodnot.</w:t>
      </w:r>
    </w:p>
    <w:p w:rsidR="00406B98" w:rsidRPr="005B727B" w:rsidRDefault="00406B98" w:rsidP="00406B98">
      <w:pPr>
        <w:spacing w:after="0"/>
        <w:jc w:val="both"/>
        <w:rPr>
          <w:sz w:val="20"/>
        </w:rPr>
      </w:pPr>
      <w:r w:rsidRPr="005B727B">
        <w:rPr>
          <w:sz w:val="20"/>
        </w:rPr>
        <w:t xml:space="preserve">Pozn.: </w:t>
      </w:r>
    </w:p>
    <w:p w:rsidR="00406B98" w:rsidRPr="005B727B" w:rsidRDefault="00406B98" w:rsidP="00406B98">
      <w:pPr>
        <w:jc w:val="both"/>
        <w:rPr>
          <w:sz w:val="20"/>
        </w:rPr>
      </w:pPr>
      <w:r w:rsidRPr="005B727B">
        <w:rPr>
          <w:sz w:val="20"/>
        </w:rPr>
        <w:t xml:space="preserve">Hodnota indikátorů v žádosti o podporu </w:t>
      </w:r>
      <w:r w:rsidRPr="005B727B">
        <w:rPr>
          <w:b/>
          <w:sz w:val="20"/>
        </w:rPr>
        <w:t>se nesmí</w:t>
      </w:r>
      <w:r w:rsidRPr="005B727B">
        <w:rPr>
          <w:sz w:val="20"/>
        </w:rPr>
        <w:t xml:space="preserve"> odchýlit od hodnot indikátorů schválených projektových zá</w:t>
      </w:r>
      <w:r>
        <w:rPr>
          <w:sz w:val="20"/>
        </w:rPr>
        <w:t>měrů o více než 5 % směrem dolů, navýšení hodnot indikátorů oproti projektovému záměru je povoleno.</w:t>
      </w:r>
    </w:p>
    <w:p w:rsidR="00406B98" w:rsidRPr="005B727B" w:rsidRDefault="00406B98" w:rsidP="00406B98">
      <w:pPr>
        <w:spacing w:after="240"/>
        <w:jc w:val="both"/>
        <w:rPr>
          <w:sz w:val="20"/>
        </w:rPr>
      </w:pPr>
      <w:r w:rsidRPr="005B727B">
        <w:rPr>
          <w:sz w:val="20"/>
        </w:rPr>
        <w:t xml:space="preserve">V případě liší-li se výše dotační podpory uvedené v projektové žádosti od výše požadované dotace ve schváleném projektovém záměru, akceptovatelné je pouze </w:t>
      </w:r>
      <w:r w:rsidRPr="005B727B">
        <w:rPr>
          <w:b/>
          <w:sz w:val="20"/>
        </w:rPr>
        <w:t>snížení požadované částky</w:t>
      </w:r>
      <w:r>
        <w:rPr>
          <w:sz w:val="20"/>
        </w:rPr>
        <w:t>, zvýšení je povoleno pouze do výše 1,00 Kč z důvodu rozdílného zaokrouhlování.</w:t>
      </w:r>
    </w:p>
    <w:p w:rsidR="000A6D8A" w:rsidRDefault="00406B98"/>
    <w:sectPr w:rsidR="000A6D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44" w:rsidRDefault="000C2B44" w:rsidP="000C2B44">
      <w:pPr>
        <w:spacing w:after="0" w:line="240" w:lineRule="auto"/>
      </w:pPr>
      <w:r>
        <w:separator/>
      </w:r>
    </w:p>
  </w:endnote>
  <w:endnote w:type="continuationSeparator" w:id="0">
    <w:p w:rsidR="000C2B44" w:rsidRDefault="000C2B44" w:rsidP="000C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034340"/>
      <w:docPartObj>
        <w:docPartGallery w:val="Page Numbers (Bottom of Page)"/>
        <w:docPartUnique/>
      </w:docPartObj>
    </w:sdtPr>
    <w:sdtContent>
      <w:p w:rsidR="000C2B44" w:rsidRDefault="000C2B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B98">
          <w:rPr>
            <w:noProof/>
          </w:rPr>
          <w:t>1</w:t>
        </w:r>
        <w:r>
          <w:fldChar w:fldCharType="end"/>
        </w:r>
      </w:p>
    </w:sdtContent>
  </w:sdt>
  <w:p w:rsidR="000C2B44" w:rsidRDefault="000C2B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44" w:rsidRDefault="000C2B44" w:rsidP="000C2B44">
      <w:pPr>
        <w:spacing w:after="0" w:line="240" w:lineRule="auto"/>
      </w:pPr>
      <w:r>
        <w:separator/>
      </w:r>
    </w:p>
  </w:footnote>
  <w:footnote w:type="continuationSeparator" w:id="0">
    <w:p w:rsidR="000C2B44" w:rsidRDefault="000C2B44" w:rsidP="000C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44" w:rsidRDefault="000C2B4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64A4B31D" wp14:editId="1D78442B">
              <wp:simplePos x="0" y="0"/>
              <wp:positionH relativeFrom="column">
                <wp:posOffset>76200</wp:posOffset>
              </wp:positionH>
              <wp:positionV relativeFrom="paragraph">
                <wp:posOffset>-124460</wp:posOffset>
              </wp:positionV>
              <wp:extent cx="5687060" cy="772160"/>
              <wp:effectExtent l="0" t="0" r="9525" b="9525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060" cy="772160"/>
                        <a:chOff x="0" y="0"/>
                        <a:chExt cx="5687060" cy="77216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11B38B" id="Skupina 5" o:spid="_x0000_s1026" style="position:absolute;margin-left:6pt;margin-top:-9.8pt;width:447.8pt;height:60.8pt;z-index:-251657216;mso-wrap-distance-right:8.95pt" coordsize="56870,7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a92NLXQIAAAgH&#10;AAAOAAAAAAAAAAAAAAAAADwCAABkcnMvZTJvRG9jLnhtbFBLAQItABQABgAIAAAAIQAZlLvJwwAA&#10;AKcBAAAZAAAAAAAAAAAAAAAAAMUEAABkcnMvX3JlbHMvZTJvRG9jLnhtbC5yZWxzUEsBAi0AFAAG&#10;AAgAAAAhAHFqLqHfAAAACgEAAA8AAAAAAAAAAAAAAAAAvw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;height:7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rvinAAAAA2gAAAA8AAABkcnMvZG93bnJldi54bWxET91qwjAUvh/4DuEI3s3UDZx0RpFBZd4I&#10;2j7AITlrq81JbaJt9/TLhbDLj+9/vR1sIx7U+dqxgsU8AUGsnam5VFDk2esKhA/IBhvHpGAkD9vN&#10;5GWNqXE9n+hxDqWIIexTVFCF0KZSel2RRT93LXHkflxnMUTYldJ02Mdw28i3JFlKizXHhgpb+qpI&#10;X893qyBbfGQXnd+OddH0WRjHdv/7flBqNh12nyACDeFf/HR/GwVxa7wSb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u+KcAAAADaAAAADwAAAAAAAAAAAAAAAACfAgAA&#10;ZHJzL2Rvd25yZXYueG1sUEsFBgAAAAAEAAQA9wAAAIwDAAAAAA==&#10;">
                <v:imagedata r:id="rId3" o:title=""/>
              </v:shape>
              <v:shape id="Obrázek 7" o:spid="_x0000_s1028" type="#_x0000_t75" style="position:absolute;left:51879;top:1688;width:4986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7C7FAAAA2gAAAA8AAABkcnMvZG93bnJldi54bWxEj0FrwkAUhO8F/8PyBG/NJoKlRtegtoUW&#10;6sEoiLdH9pkEs29DdhvT/vpuQehxmJlvmGU2mEb01LnasoIkikEQF1bXXCo4Ht4en0E4j6yxsUwK&#10;vslBtho9LDHV9sZ76nNfigBhl6KCyvs2ldIVFRl0kW2Jg3exnUEfZFdK3eEtwE0jp3H8JA3WHBYq&#10;bGlbUXHNv4yCXb2zm1Oz6ZPcTV9+itn581V+KDUZD+sFCE+D/w/f2+9awRz+ro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rOwuxQAAANoAAAAPAAAAAAAAAAAAAAAA&#10;AJ8CAABkcnMvZG93bnJldi54bWxQSwUGAAAAAAQABAD3AAAAkQMAAAAA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04DE2"/>
    <w:multiLevelType w:val="hybridMultilevel"/>
    <w:tmpl w:val="C5B8DE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44"/>
    <w:rsid w:val="000C2B44"/>
    <w:rsid w:val="00406B98"/>
    <w:rsid w:val="00B61638"/>
    <w:rsid w:val="00C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D2081A-3965-4838-B2F1-F7D18C3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0C2B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B44"/>
  </w:style>
  <w:style w:type="paragraph" w:styleId="Zpat">
    <w:name w:val="footer"/>
    <w:basedOn w:val="Normln"/>
    <w:link w:val="ZpatChar"/>
    <w:uiPriority w:val="99"/>
    <w:unhideWhenUsed/>
    <w:rsid w:val="000C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B44"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C2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basedOn w:val="Standardnpsmoodstavce"/>
    <w:link w:val="Odstavecseseznamem"/>
    <w:uiPriority w:val="34"/>
    <w:qFormat/>
    <w:locked/>
    <w:rsid w:val="000C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0C2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724F-A46C-4851-98E0-ED4392E2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36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Lavická Petra (MHMP, PRI)</cp:lastModifiedBy>
  <cp:revision>2</cp:revision>
  <dcterms:created xsi:type="dcterms:W3CDTF">2018-07-25T14:34:00Z</dcterms:created>
  <dcterms:modified xsi:type="dcterms:W3CDTF">2018-07-25T14:34:00Z</dcterms:modified>
</cp:coreProperties>
</file>