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D8" w:rsidRPr="003463E1" w:rsidRDefault="00B700D8" w:rsidP="00B700D8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Příloha č. 2 výzvy č. 20</w:t>
      </w:r>
      <w:r w:rsidRPr="003463E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zprostředkujícího subjektu ITI Pražské metropolitní oblasti</w:t>
      </w:r>
    </w:p>
    <w:p w:rsidR="00B700D8" w:rsidRPr="000A3DDA" w:rsidRDefault="00B700D8" w:rsidP="00B700D8">
      <w:pPr>
        <w:keepNext/>
        <w:keepLines/>
        <w:spacing w:before="480" w:after="360" w:line="276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5B9BD5" w:themeColor="accent1"/>
          <w:sz w:val="28"/>
          <w:szCs w:val="28"/>
          <w:lang w:eastAsia="en-US"/>
        </w:rPr>
      </w:pPr>
      <w:r w:rsidRPr="003463E1">
        <w:rPr>
          <w:rFonts w:asciiTheme="majorHAnsi" w:eastAsiaTheme="majorEastAsia" w:hAnsiTheme="majorHAnsi" w:cstheme="majorBidi"/>
          <w:b/>
          <w:bCs/>
          <w:color w:val="5B9BD5" w:themeColor="accent1"/>
          <w:sz w:val="28"/>
          <w:szCs w:val="28"/>
          <w:lang w:eastAsia="en-US"/>
        </w:rPr>
        <w:t>OSNOVA STUDIE PROVEDITELNOSTI - DOPLŇUJÍCÍ INFORMACE PRO HODNOCENÍ PROVÁDĚNÉ ZS ITI PRAŽSKÉ METROPOLITNÍ OBLASTI</w:t>
      </w:r>
    </w:p>
    <w:p w:rsidR="00B700D8" w:rsidRDefault="00B700D8" w:rsidP="00B700D8">
      <w:pPr>
        <w:numPr>
          <w:ilvl w:val="0"/>
          <w:numId w:val="2"/>
        </w:numPr>
        <w:spacing w:after="24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Soulad žádosti o podporu s tematickým zaměřením Integrované strategie pro ITI Pražské metropolitní oblasti (Strategie ITI) </w:t>
      </w:r>
    </w:p>
    <w:p w:rsidR="00B700D8" w:rsidRDefault="00B700D8" w:rsidP="00B700D8">
      <w:pPr>
        <w:spacing w:before="100" w:beforeAutospacing="1" w:after="36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4551">
        <w:rPr>
          <w:rFonts w:asciiTheme="minorHAnsi" w:eastAsiaTheme="minorHAnsi" w:hAnsiTheme="minorHAnsi" w:cstheme="minorBidi"/>
          <w:sz w:val="22"/>
          <w:szCs w:val="22"/>
          <w:lang w:eastAsia="en-US"/>
        </w:rPr>
        <w:t>Popis souladu s tematickým zaměřením Strategie ITI – tedy s prioritní oblastí „1 – Inteligentní doprava“, se specifickým cílem „1.1 – Zrychlit a zkvalitnit přepravu osob uvnitř PMO“, s opatřením „1.1.1 – Výstavba a modernizace terminálů veřejné dopravy a systémů pro přestup na veřejnou dopravu v zázemí Prahy“.</w:t>
      </w:r>
    </w:p>
    <w:p w:rsidR="00B700D8" w:rsidRPr="00044551" w:rsidRDefault="00B700D8" w:rsidP="00B700D8">
      <w:pPr>
        <w:spacing w:before="100" w:beforeAutospacing="1" w:after="36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</w:p>
    <w:p w:rsidR="00B700D8" w:rsidRPr="000A3DDA" w:rsidRDefault="00B700D8" w:rsidP="00B700D8">
      <w:pPr>
        <w:keepNext/>
        <w:keepLines/>
        <w:numPr>
          <w:ilvl w:val="0"/>
          <w:numId w:val="2"/>
        </w:numPr>
        <w:spacing w:before="200" w:line="276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Odůvodnění rozdílných údajů v projektovém záměru a v žádosti o podporu</w:t>
      </w:r>
    </w:p>
    <w:p w:rsidR="00B700D8" w:rsidRPr="000A3DDA" w:rsidRDefault="00B700D8" w:rsidP="00B700D8">
      <w:p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Pokud jsou v předkládané projektové žádosti uvedeny rozdílné údaje, týkající se </w:t>
      </w:r>
      <w:r w:rsidRPr="000A3D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cílových hodnot indikátorů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 w:rsidRPr="000A3D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výše dotační podpory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(výše dotace z EU), než byly uvedeny v projektovém záměru, předkládaném do výzvy nositele ITI, ke kterému vydal vyjádření Řídící výbor ITI Pražské metropolitní oblasti,</w:t>
      </w:r>
      <w:r w:rsidRPr="000A3D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uvede žadatel odůvodnění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této změny včetně procentuálního vyjádření rozdílu těchto hodnot.</w:t>
      </w:r>
    </w:p>
    <w:p w:rsidR="00B700D8" w:rsidRPr="000A3DDA" w:rsidRDefault="00B700D8" w:rsidP="00B700D8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Pozn.: </w:t>
      </w:r>
    </w:p>
    <w:p w:rsidR="00B700D8" w:rsidRPr="000A3DDA" w:rsidRDefault="00B700D8" w:rsidP="00B700D8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>Hodnota indikátorů v žádosti o podporu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nesmí být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více než 5 % 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nižší než jsou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>hodnot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y indikátorů schválené v projektovém záměru.</w:t>
      </w:r>
    </w:p>
    <w:p w:rsidR="00B700D8" w:rsidRPr="000A3DDA" w:rsidRDefault="00B700D8" w:rsidP="00B700D8">
      <w:pPr>
        <w:spacing w:after="240"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V případě liší-li se výše dotační podpory uvedené v projektové žádosti od výše požadované dotace ve schváleném projektovém záměru, akceptovatelné je pouze </w:t>
      </w:r>
      <w:r w:rsidRPr="000A3DDA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>snížení požadované částky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 projektové žádosti nikoli navýšení rozpočtu.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Výjimkou je navýšení rozpočtu projektu z důvodu zaokrouhlování systému, avšak pouze do výše 1,00 Kč způsobilých výdajů.</w:t>
      </w:r>
    </w:p>
    <w:p w:rsidR="00B700D8" w:rsidRPr="000A3DDA" w:rsidRDefault="00B700D8" w:rsidP="00B700D8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Zohlednění požadavků Stanoviska Ministerstva životního prostředí</w:t>
      </w:r>
    </w:p>
    <w:p w:rsidR="00B700D8" w:rsidRPr="000A3DDA" w:rsidRDefault="00B700D8" w:rsidP="00B700D8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U opatření Strategie ITI č. 1.1.1 žadatel popíše skutečnost, že v projektu je zohledněn minimálně jeden požadavek vyplývající ze Stanoviska Ministerstva životního prostředí vydaném ke Strategii ITI.</w:t>
      </w:r>
    </w:p>
    <w:p w:rsidR="00B700D8" w:rsidRPr="000A3DDA" w:rsidRDefault="00B700D8" w:rsidP="00B700D8">
      <w:p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 znamená že: </w:t>
      </w:r>
    </w:p>
    <w:p w:rsidR="00B700D8" w:rsidRDefault="00B700D8" w:rsidP="00B700D8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 projektu zahrnujícím novou dopravní stavbu bude zajištěna migrační prostupnost zejména pro velké savce, ale i prostupnost míst výskytu obojživelníků a jiných zvláště chráněných druhů </w:t>
      </w:r>
    </w:p>
    <w:p w:rsidR="00B700D8" w:rsidRPr="000A3DDA" w:rsidRDefault="00B700D8" w:rsidP="00B700D8">
      <w:pPr>
        <w:spacing w:after="24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nebo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700D8" w:rsidRPr="000A3DDA" w:rsidRDefault="00B700D8" w:rsidP="00B700D8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 přispěje k přesunu silniční dopravy mimo hustě obydlené lokality, respektive nahrazuje průjezdní úsek obce definovaný </w:t>
      </w:r>
      <w:r w:rsidRPr="000A3DDA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v § 8 zákona č. 13/1997 Sb. o pozemních komunikacích, ve znění pozdějších předpisů </w:t>
      </w:r>
    </w:p>
    <w:p w:rsidR="00B700D8" w:rsidRPr="000A3DDA" w:rsidRDefault="00B700D8" w:rsidP="00B700D8">
      <w:pPr>
        <w:spacing w:after="24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nebo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700D8" w:rsidRPr="000A3DDA" w:rsidRDefault="00B700D8" w:rsidP="00B700D8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realizací projektu nebude docházet k záboru zemědělského původního fondu a pozemků určených k plnění funkcí lesa </w:t>
      </w:r>
    </w:p>
    <w:p w:rsidR="00B700D8" w:rsidRPr="000A3DDA" w:rsidRDefault="00B700D8" w:rsidP="00B700D8">
      <w:pPr>
        <w:spacing w:after="24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nebo</w:t>
      </w:r>
      <w:r w:rsidRPr="000A3D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B700D8" w:rsidRPr="000A3DDA" w:rsidRDefault="00B700D8" w:rsidP="00B700D8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projekt nebude realizován ve zvláště chráněných území.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B700D8" w:rsidRPr="000A3DDA" w:rsidRDefault="00B700D8" w:rsidP="00B700D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lastRenderedPageBreak/>
        <w:t>Terminál přispěje k podpoře autobusové nebo železniční dopravy na území Pražské metropolitní oblasti</w:t>
      </w:r>
    </w:p>
    <w:p w:rsidR="00B700D8" w:rsidRPr="000A3DDA" w:rsidRDefault="00B700D8" w:rsidP="00B700D8">
      <w:pPr>
        <w:spacing w:before="160" w:after="200" w:line="276" w:lineRule="auto"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V příloze č. 3 </w:t>
      </w:r>
      <w:proofErr w:type="gramStart"/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této</w:t>
      </w:r>
      <w:proofErr w:type="gramEnd"/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výzvy ITI je uveden seznam vybraných přestupních uzlů na území Pražské metropolitní oblasti a k nim odpovídající denní obrat cestujících získaný z přepravních průzkumů Českých drah z období 13. – 23. 3. 2015.  </w:t>
      </w:r>
    </w:p>
    <w:p w:rsidR="00B700D8" w:rsidRPr="000A3DDA" w:rsidRDefault="00B700D8" w:rsidP="00B700D8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V případě, že je projekt realizován v obci uvedené na seznamu v příloze č. 3, není potřeba nic dokládat;</w:t>
      </w:r>
    </w:p>
    <w:p w:rsidR="00B700D8" w:rsidRPr="000A3DDA" w:rsidRDefault="00B700D8" w:rsidP="00B700D8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V případě, že projekt není realizován v obci uvedené na seznamu v příloze č. 3, je nutné doložit:</w:t>
      </w:r>
    </w:p>
    <w:p w:rsidR="00B700D8" w:rsidRPr="000A3DDA" w:rsidRDefault="00B700D8" w:rsidP="00B700D8">
      <w:pPr>
        <w:numPr>
          <w:ilvl w:val="2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Vlastní přepravní průzkum 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realizovaný v době od března 2015 do data podání žádosti o podporu</w:t>
      </w: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, </w:t>
      </w:r>
      <w:r w:rsidRPr="000A3DDA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NEBO</w:t>
      </w:r>
    </w:p>
    <w:p w:rsidR="00B700D8" w:rsidRPr="000A3DDA" w:rsidRDefault="00B700D8" w:rsidP="00B700D8">
      <w:pPr>
        <w:numPr>
          <w:ilvl w:val="2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Přepravní průzkum vyžádaný od přepravce (realizovaný v době od března 2015 do data podání žádosti o podporu</w:t>
      </w: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;  </w:t>
      </w:r>
    </w:p>
    <w:p w:rsidR="00B700D8" w:rsidRPr="000A3DDA" w:rsidRDefault="00B700D8" w:rsidP="00B700D8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Pokud se obec, ve které realizujete projekt, nachází na seznamu přílohy č. 3 a údaje se od průzkumu z  března roku 2015 dle Vašeho mínění změnili, doložte:</w:t>
      </w:r>
    </w:p>
    <w:p w:rsidR="00B700D8" w:rsidRPr="000A3DDA" w:rsidRDefault="00B700D8" w:rsidP="00B700D8">
      <w:pPr>
        <w:numPr>
          <w:ilvl w:val="2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Vlastní přepravní průzkum 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realizovaný v době od března 2015 do data podání žádosti o podporu</w:t>
      </w: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, </w:t>
      </w:r>
      <w:r w:rsidRPr="000A3DDA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NEBO</w:t>
      </w:r>
    </w:p>
    <w:p w:rsidR="00B700D8" w:rsidRPr="000A3DDA" w:rsidRDefault="00B700D8" w:rsidP="00B700D8">
      <w:pPr>
        <w:numPr>
          <w:ilvl w:val="2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Přepravní průzkum vyžádaný od přepravce (realizovaný v době od března 2015 do data podání žádosti o podporu</w:t>
      </w: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;  </w:t>
      </w:r>
    </w:p>
    <w:p w:rsidR="00B700D8" w:rsidRPr="000A3DDA" w:rsidRDefault="00B700D8" w:rsidP="00B700D8">
      <w:pPr>
        <w:spacing w:after="200" w:line="276" w:lineRule="auto"/>
        <w:ind w:left="2160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</w:p>
    <w:p w:rsidR="00B700D8" w:rsidRPr="000A3DDA" w:rsidRDefault="00B700D8" w:rsidP="00B700D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Projekt zahrnuje realizaci nových parkovacích míst pro kola v režimu B+R.</w:t>
      </w:r>
    </w:p>
    <w:p w:rsidR="00B700D8" w:rsidRPr="000A3DDA" w:rsidRDefault="00B700D8" w:rsidP="00B700D8">
      <w:pPr>
        <w:spacing w:after="200" w:line="276" w:lineRule="auto"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Žadatel uvede počet </w:t>
      </w:r>
      <w:r w:rsidRPr="000A3DDA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zastřešených</w:t>
      </w: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parkovacích míst pro kola (v podobě pevných stojanů na jízdní kola umožňujících opřít a uzamknout kolo za rám bez nutnosti ohýbání nebo uzamykatelných boxů na jízdní kola).</w:t>
      </w:r>
    </w:p>
    <w:p w:rsidR="00B700D8" w:rsidRPr="000A3DDA" w:rsidRDefault="00B700D8" w:rsidP="00B700D8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Žadatel uvede odkaz na konkrétní místo v projektové dokumentaci, kde je popsána realizace zastřešených parkovacích míst pro kola.</w:t>
      </w:r>
    </w:p>
    <w:p w:rsidR="00EF57BF" w:rsidRDefault="00EF57BF">
      <w:bookmarkStart w:id="0" w:name="_GoBack"/>
      <w:bookmarkEnd w:id="0"/>
    </w:p>
    <w:sectPr w:rsidR="00EF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5A31"/>
    <w:multiLevelType w:val="hybridMultilevel"/>
    <w:tmpl w:val="E0CA5FC8"/>
    <w:lvl w:ilvl="0" w:tplc="16E22A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4A3"/>
    <w:multiLevelType w:val="hybridMultilevel"/>
    <w:tmpl w:val="95EACDD6"/>
    <w:lvl w:ilvl="0" w:tplc="DEBED0C6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106E8A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2" w:tplc="08B6AC08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b w:val="0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D8"/>
    <w:rsid w:val="00B700D8"/>
    <w:rsid w:val="00E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9C59-AA7E-4611-99E4-883C27BB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(SSP/KSR)</dc:creator>
  <cp:keywords/>
  <dc:description/>
  <cp:lastModifiedBy>Kubíček Ondřej Mgr. (SSP/KSR)</cp:lastModifiedBy>
  <cp:revision>1</cp:revision>
  <dcterms:created xsi:type="dcterms:W3CDTF">2019-03-27T13:47:00Z</dcterms:created>
  <dcterms:modified xsi:type="dcterms:W3CDTF">2019-03-27T13:48:00Z</dcterms:modified>
</cp:coreProperties>
</file>